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306BEC" w14:textId="14F65762" w:rsidR="00F76C28" w:rsidRPr="00061EB6" w:rsidRDefault="00F76C28" w:rsidP="00F76C28">
      <w:pPr>
        <w:spacing w:after="0" w:line="250" w:lineRule="atLeast"/>
        <w:rPr>
          <w:rFonts w:ascii="Arial" w:eastAsia="Times New Roman" w:hAnsi="Arial" w:cs="Times New Roman"/>
          <w:b/>
          <w:caps/>
          <w:color w:val="381A0A"/>
          <w:sz w:val="28"/>
          <w:szCs w:val="24"/>
          <w:lang w:eastAsia="fr-FR"/>
        </w:rPr>
      </w:pPr>
      <w:r w:rsidRPr="00061EB6">
        <w:rPr>
          <w:rFonts w:ascii="Arial" w:eastAsia="Times New Roman" w:hAnsi="Arial" w:cs="Times New Roman"/>
          <w:b/>
          <w:caps/>
          <w:color w:val="381A0A"/>
          <w:sz w:val="28"/>
          <w:szCs w:val="24"/>
          <w:lang w:eastAsia="fr-FR"/>
        </w:rPr>
        <w:t>Votre projet de vie est-il finançable ? </w:t>
      </w:r>
    </w:p>
    <w:p w14:paraId="56A90DBB" w14:textId="4982FE9A" w:rsidR="00F76C28" w:rsidRDefault="00F76C28" w:rsidP="00F76C28">
      <w:pPr>
        <w:spacing w:after="0"/>
        <w:jc w:val="center"/>
        <w:rPr>
          <w:rFonts w:ascii="Arial" w:hAnsi="Arial" w:cs="Arial"/>
          <w:b/>
          <w:color w:val="381A0A"/>
          <w:sz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0A656" wp14:editId="24427866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10199370" cy="30480"/>
                <wp:effectExtent l="19050" t="19050" r="30480" b="26670"/>
                <wp:wrapNone/>
                <wp:docPr id="202" name="Connecteur droit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99370" cy="3048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799228B1" id="Connecteur droit 20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3pt" to="803.1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" strokecolor="#00b0f0" strokeweight="2.25pt">
                <v:stroke joinstyle="miter"/>
                <w10:wrap anchorx="margin"/>
              </v:line>
            </w:pict>
          </mc:Fallback>
        </mc:AlternateContent>
      </w:r>
      <w:r>
        <w:rPr>
          <w:rFonts w:ascii="Arial" w:hAnsi="Arial" w:cs="Arial"/>
          <w:b/>
          <w:color w:val="381A0A"/>
          <w:sz w:val="28"/>
        </w:rPr>
        <w:t xml:space="preserve"> </w:t>
      </w:r>
    </w:p>
    <w:p w14:paraId="4155A4EC" w14:textId="77777777" w:rsidR="000B0ACB" w:rsidRDefault="000B0ACB" w:rsidP="000B0ACB">
      <w:pPr>
        <w:spacing w:after="0"/>
        <w:jc w:val="center"/>
        <w:rPr>
          <w:rFonts w:ascii="Arial" w:hAnsi="Arial" w:cs="Arial"/>
          <w:b/>
          <w:color w:val="381A0A"/>
          <w:sz w:val="28"/>
        </w:rPr>
      </w:pPr>
      <w:r>
        <w:rPr>
          <w:rFonts w:ascii="Arial" w:hAnsi="Arial" w:cs="Arial"/>
          <w:b/>
          <w:color w:val="381A0A"/>
          <w:sz w:val="28"/>
        </w:rPr>
        <w:t xml:space="preserve"> </w:t>
      </w:r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6013"/>
        <w:gridCol w:w="1735"/>
        <w:gridCol w:w="1735"/>
        <w:gridCol w:w="1735"/>
        <w:gridCol w:w="1735"/>
        <w:gridCol w:w="1041"/>
      </w:tblGrid>
      <w:tr w:rsidR="000B0ACB" w14:paraId="4CD53979" w14:textId="77777777" w:rsidTr="00F76C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pct"/>
            <w:hideMark/>
          </w:tcPr>
          <w:p w14:paraId="0DA4BBFE" w14:textId="77777777" w:rsidR="000B0ACB" w:rsidRDefault="000B0ACB" w:rsidP="00B405AF">
            <w:pPr>
              <w:rPr>
                <w:rFonts w:ascii="Calibri" w:hAnsi="Calibri"/>
                <w:color w:val="391909"/>
                <w:sz w:val="20"/>
                <w:szCs w:val="20"/>
              </w:rPr>
            </w:pPr>
            <w:bookmarkStart w:id="0" w:name="viabilité_Projet_disponibilités"/>
            <w:bookmarkEnd w:id="0"/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Liquidités à venir selon votre anticipation</w:t>
            </w:r>
          </w:p>
        </w:tc>
        <w:tc>
          <w:tcPr>
            <w:tcW w:w="620" w:type="pct"/>
            <w:noWrap/>
            <w:hideMark/>
          </w:tcPr>
          <w:p w14:paraId="03CCB2FA" w14:textId="77777777" w:rsidR="000B0ACB" w:rsidRDefault="000B0ACB" w:rsidP="00B405AF">
            <w:pPr>
              <w:ind w:firstLineChars="100" w:firstLine="201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250 000 €</w:t>
            </w:r>
          </w:p>
        </w:tc>
        <w:tc>
          <w:tcPr>
            <w:tcW w:w="620" w:type="pct"/>
            <w:noWrap/>
            <w:hideMark/>
          </w:tcPr>
          <w:p w14:paraId="5EFAE108" w14:textId="77777777" w:rsidR="000B0ACB" w:rsidRDefault="000B0ACB" w:rsidP="00B405AF">
            <w:pPr>
              <w:ind w:firstLineChars="100" w:firstLine="201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800 000 €</w:t>
            </w:r>
          </w:p>
        </w:tc>
        <w:tc>
          <w:tcPr>
            <w:tcW w:w="620" w:type="pct"/>
            <w:noWrap/>
            <w:hideMark/>
          </w:tcPr>
          <w:p w14:paraId="5997E34B" w14:textId="77777777" w:rsidR="000B0ACB" w:rsidRDefault="000B0ACB" w:rsidP="00B405AF">
            <w:pPr>
              <w:ind w:firstLineChars="100" w:firstLine="201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0 €</w:t>
            </w:r>
          </w:p>
        </w:tc>
        <w:tc>
          <w:tcPr>
            <w:tcW w:w="620" w:type="pct"/>
            <w:noWrap/>
            <w:hideMark/>
          </w:tcPr>
          <w:p w14:paraId="32F7A9F6" w14:textId="77777777" w:rsidR="000B0ACB" w:rsidRDefault="000B0ACB" w:rsidP="00B405AF">
            <w:pPr>
              <w:ind w:firstLineChars="100" w:firstLine="201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1 050 000 €</w:t>
            </w:r>
          </w:p>
        </w:tc>
        <w:tc>
          <w:tcPr>
            <w:tcW w:w="373" w:type="pct"/>
            <w:noWrap/>
            <w:hideMark/>
          </w:tcPr>
          <w:p w14:paraId="6240038E" w14:textId="77777777" w:rsidR="000B0ACB" w:rsidRDefault="000B0ACB" w:rsidP="00B405AF">
            <w:pPr>
              <w:ind w:firstLineChars="100" w:firstLine="201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</w:p>
        </w:tc>
      </w:tr>
      <w:tr w:rsidR="000B0ACB" w14:paraId="3A32E645" w14:textId="77777777" w:rsidTr="00F76C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pct"/>
            <w:noWrap/>
            <w:hideMark/>
          </w:tcPr>
          <w:p w14:paraId="2B0ABD76" w14:textId="77777777" w:rsidR="000B0ACB" w:rsidRDefault="000B0ACB" w:rsidP="00B405AF">
            <w:pPr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Solde de vos flux  et de vos besoins de liquidités</w:t>
            </w:r>
          </w:p>
        </w:tc>
        <w:tc>
          <w:tcPr>
            <w:tcW w:w="620" w:type="pct"/>
            <w:noWrap/>
            <w:hideMark/>
          </w:tcPr>
          <w:p w14:paraId="56131DED" w14:textId="77777777" w:rsidR="000B0ACB" w:rsidRDefault="000B0ACB" w:rsidP="00B405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-78 999 €</w:t>
            </w:r>
          </w:p>
        </w:tc>
        <w:tc>
          <w:tcPr>
            <w:tcW w:w="620" w:type="pct"/>
            <w:noWrap/>
            <w:hideMark/>
          </w:tcPr>
          <w:p w14:paraId="366FE092" w14:textId="77777777" w:rsidR="000B0ACB" w:rsidRDefault="000B0ACB" w:rsidP="00B405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-272 000 €</w:t>
            </w:r>
          </w:p>
        </w:tc>
        <w:tc>
          <w:tcPr>
            <w:tcW w:w="620" w:type="pct"/>
            <w:noWrap/>
            <w:hideMark/>
          </w:tcPr>
          <w:p w14:paraId="7D0701D9" w14:textId="77777777" w:rsidR="000B0ACB" w:rsidRDefault="000B0ACB" w:rsidP="00B405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-773 167 €</w:t>
            </w:r>
          </w:p>
        </w:tc>
        <w:tc>
          <w:tcPr>
            <w:tcW w:w="620" w:type="pct"/>
            <w:noWrap/>
            <w:hideMark/>
          </w:tcPr>
          <w:p w14:paraId="10DEE69C" w14:textId="77777777" w:rsidR="000B0ACB" w:rsidRDefault="000B0ACB" w:rsidP="00B405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-1 124 166 €</w:t>
            </w:r>
          </w:p>
        </w:tc>
        <w:tc>
          <w:tcPr>
            <w:tcW w:w="373" w:type="pct"/>
            <w:noWrap/>
            <w:hideMark/>
          </w:tcPr>
          <w:p w14:paraId="52419D0D" w14:textId="77777777" w:rsidR="000B0ACB" w:rsidRDefault="000B0ACB" w:rsidP="00B405A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0B0ACB" w14:paraId="0AAAC413" w14:textId="77777777" w:rsidTr="00F76C2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pct"/>
            <w:noWrap/>
            <w:hideMark/>
          </w:tcPr>
          <w:p w14:paraId="4DB8CA25" w14:textId="77777777" w:rsidR="000B0ACB" w:rsidRDefault="000B0ACB" w:rsidP="00B405AF">
            <w:pPr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Reste net une fois tous vos besoins futurs assurés</w:t>
            </w:r>
          </w:p>
        </w:tc>
        <w:tc>
          <w:tcPr>
            <w:tcW w:w="620" w:type="pct"/>
            <w:noWrap/>
            <w:hideMark/>
          </w:tcPr>
          <w:p w14:paraId="452FC88E" w14:textId="77777777" w:rsidR="000B0ACB" w:rsidRDefault="000B0ACB" w:rsidP="00B405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B050"/>
                <w:sz w:val="20"/>
                <w:szCs w:val="20"/>
              </w:rPr>
              <w:t>271 001 €</w:t>
            </w:r>
          </w:p>
        </w:tc>
        <w:tc>
          <w:tcPr>
            <w:tcW w:w="620" w:type="pct"/>
            <w:noWrap/>
            <w:hideMark/>
          </w:tcPr>
          <w:p w14:paraId="552DC4A1" w14:textId="77777777" w:rsidR="000B0ACB" w:rsidRDefault="000B0ACB" w:rsidP="00B405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B050"/>
                <w:sz w:val="20"/>
                <w:szCs w:val="20"/>
              </w:rPr>
              <w:t>578 000 €</w:t>
            </w:r>
          </w:p>
        </w:tc>
        <w:tc>
          <w:tcPr>
            <w:tcW w:w="620" w:type="pct"/>
            <w:noWrap/>
            <w:hideMark/>
          </w:tcPr>
          <w:p w14:paraId="57DD348C" w14:textId="77777777" w:rsidR="000B0ACB" w:rsidRDefault="000B0ACB" w:rsidP="00B405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-773 167 €</w:t>
            </w:r>
          </w:p>
        </w:tc>
        <w:tc>
          <w:tcPr>
            <w:tcW w:w="620" w:type="pct"/>
            <w:noWrap/>
            <w:hideMark/>
          </w:tcPr>
          <w:p w14:paraId="5C35B374" w14:textId="77777777" w:rsidR="000B0ACB" w:rsidRDefault="000B0ACB" w:rsidP="00B405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B050"/>
                <w:sz w:val="20"/>
                <w:szCs w:val="20"/>
              </w:rPr>
              <w:t>75 834 €</w:t>
            </w:r>
          </w:p>
        </w:tc>
        <w:tc>
          <w:tcPr>
            <w:tcW w:w="373" w:type="pct"/>
            <w:noWrap/>
            <w:hideMark/>
          </w:tcPr>
          <w:p w14:paraId="133245C1" w14:textId="77777777" w:rsidR="000B0ACB" w:rsidRDefault="000B0ACB" w:rsidP="00B405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0B0ACB" w14:paraId="1CDAE2E0" w14:textId="77777777" w:rsidTr="00F76C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pct"/>
            <w:noWrap/>
            <w:hideMark/>
          </w:tcPr>
          <w:p w14:paraId="5430C0E7" w14:textId="77777777" w:rsidR="000B0ACB" w:rsidRDefault="000B0ACB" w:rsidP="00B405AF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noWrap/>
            <w:hideMark/>
          </w:tcPr>
          <w:p w14:paraId="6D653A01" w14:textId="77777777" w:rsidR="000B0ACB" w:rsidRDefault="000B0ACB" w:rsidP="00B40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20" w:type="pct"/>
            <w:noWrap/>
            <w:hideMark/>
          </w:tcPr>
          <w:p w14:paraId="5F6F1B44" w14:textId="77777777" w:rsidR="000B0ACB" w:rsidRDefault="000B0ACB" w:rsidP="00B40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20" w:type="pct"/>
            <w:noWrap/>
            <w:hideMark/>
          </w:tcPr>
          <w:p w14:paraId="4475F6EA" w14:textId="77777777" w:rsidR="000B0ACB" w:rsidRDefault="000B0ACB" w:rsidP="00B40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20" w:type="pct"/>
            <w:noWrap/>
            <w:hideMark/>
          </w:tcPr>
          <w:p w14:paraId="7C8E4878" w14:textId="77777777" w:rsidR="000B0ACB" w:rsidRDefault="000B0ACB" w:rsidP="00B40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73" w:type="pct"/>
            <w:noWrap/>
            <w:hideMark/>
          </w:tcPr>
          <w:p w14:paraId="797F1F26" w14:textId="77777777" w:rsidR="000B0ACB" w:rsidRDefault="000B0ACB" w:rsidP="00B405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0B0ACB" w14:paraId="22C52D56" w14:textId="77777777" w:rsidTr="00F76C28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pct"/>
            <w:noWrap/>
            <w:hideMark/>
          </w:tcPr>
          <w:p w14:paraId="143E7EC6" w14:textId="77777777" w:rsidR="000B0ACB" w:rsidRDefault="000B0ACB" w:rsidP="00B405AF">
            <w:pPr>
              <w:rPr>
                <w:sz w:val="20"/>
                <w:szCs w:val="20"/>
              </w:rPr>
            </w:pPr>
          </w:p>
        </w:tc>
        <w:tc>
          <w:tcPr>
            <w:tcW w:w="620" w:type="pct"/>
            <w:noWrap/>
            <w:hideMark/>
          </w:tcPr>
          <w:p w14:paraId="3C922BC6" w14:textId="77777777" w:rsidR="000B0ACB" w:rsidRDefault="000B0ACB" w:rsidP="00B40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20" w:type="pct"/>
            <w:noWrap/>
            <w:hideMark/>
          </w:tcPr>
          <w:p w14:paraId="4EA62D76" w14:textId="77777777" w:rsidR="000B0ACB" w:rsidRDefault="000B0ACB" w:rsidP="00B40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20" w:type="pct"/>
            <w:noWrap/>
            <w:hideMark/>
          </w:tcPr>
          <w:p w14:paraId="582ADC3C" w14:textId="77777777" w:rsidR="000B0ACB" w:rsidRDefault="000B0ACB" w:rsidP="00B40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20" w:type="pct"/>
            <w:noWrap/>
            <w:hideMark/>
          </w:tcPr>
          <w:p w14:paraId="7F4FD7DD" w14:textId="77777777" w:rsidR="000B0ACB" w:rsidRDefault="000B0ACB" w:rsidP="00B40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73" w:type="pct"/>
            <w:noWrap/>
            <w:hideMark/>
          </w:tcPr>
          <w:p w14:paraId="351932F8" w14:textId="77777777" w:rsidR="000B0ACB" w:rsidRDefault="000B0ACB" w:rsidP="00B405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0B0ACB" w14:paraId="2D8CF2D2" w14:textId="77777777" w:rsidTr="00F76C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48" w:type="pct"/>
            <w:noWrap/>
            <w:hideMark/>
          </w:tcPr>
          <w:p w14:paraId="0168FC89" w14:textId="77777777" w:rsidR="000B0ACB" w:rsidRDefault="000B0ACB" w:rsidP="00B405AF">
            <w:pPr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Arbitrage de vos besoins et avoirs à court, moyen et long terme</w:t>
            </w:r>
          </w:p>
        </w:tc>
        <w:tc>
          <w:tcPr>
            <w:tcW w:w="620" w:type="pct"/>
            <w:hideMark/>
          </w:tcPr>
          <w:p w14:paraId="33ACC167" w14:textId="77777777" w:rsidR="000B0ACB" w:rsidRDefault="000B0AC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A court terme</w:t>
            </w:r>
            <w:r>
              <w:rPr>
                <w:rFonts w:ascii="Calibri" w:hAnsi="Calibri"/>
                <w:b/>
                <w:bCs/>
                <w:color w:val="FFFFFF"/>
              </w:rPr>
              <w:br/>
              <w:t>(moins de 4 ans)</w:t>
            </w:r>
          </w:p>
        </w:tc>
        <w:tc>
          <w:tcPr>
            <w:tcW w:w="620" w:type="pct"/>
            <w:hideMark/>
          </w:tcPr>
          <w:p w14:paraId="058457A7" w14:textId="77777777" w:rsidR="000B0ACB" w:rsidRDefault="000B0AC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A moyen terme</w:t>
            </w:r>
            <w:r>
              <w:rPr>
                <w:rFonts w:ascii="Calibri" w:hAnsi="Calibri"/>
                <w:b/>
                <w:bCs/>
                <w:color w:val="FFFFFF"/>
              </w:rPr>
              <w:br/>
              <w:t>(de 4 à 8 ans)</w:t>
            </w:r>
          </w:p>
        </w:tc>
        <w:tc>
          <w:tcPr>
            <w:tcW w:w="620" w:type="pct"/>
            <w:hideMark/>
          </w:tcPr>
          <w:p w14:paraId="4123485E" w14:textId="77777777" w:rsidR="000B0ACB" w:rsidRDefault="000B0AC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A long Terme</w:t>
            </w:r>
            <w:r>
              <w:rPr>
                <w:rFonts w:ascii="Calibri" w:hAnsi="Calibri"/>
                <w:b/>
                <w:bCs/>
                <w:color w:val="FFFFFF"/>
              </w:rPr>
              <w:br/>
              <w:t>(plus de 8 ans)</w:t>
            </w:r>
          </w:p>
        </w:tc>
        <w:tc>
          <w:tcPr>
            <w:tcW w:w="620" w:type="pct"/>
            <w:hideMark/>
          </w:tcPr>
          <w:p w14:paraId="019C242B" w14:textId="77777777" w:rsidR="000B0ACB" w:rsidRDefault="000B0AC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Cumul</w:t>
            </w:r>
          </w:p>
        </w:tc>
        <w:tc>
          <w:tcPr>
            <w:tcW w:w="373" w:type="pct"/>
            <w:noWrap/>
            <w:hideMark/>
          </w:tcPr>
          <w:p w14:paraId="5E243187" w14:textId="77777777" w:rsidR="000B0ACB" w:rsidRDefault="000B0AC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</w:p>
        </w:tc>
      </w:tr>
    </w:tbl>
    <w:p w14:paraId="1AA0CBF1" w14:textId="4A7E68AA" w:rsidR="00F76C28" w:rsidRDefault="00F76C28" w:rsidP="00F76C28">
      <w:pPr>
        <w:rPr>
          <w:rFonts w:ascii="Arial" w:hAnsi="Arial" w:cs="Arial"/>
          <w:b/>
          <w:color w:val="381A0A"/>
          <w:sz w:val="28"/>
        </w:rPr>
      </w:pPr>
    </w:p>
    <w:p w14:paraId="6E82208A" w14:textId="77777777" w:rsidR="00F76C28" w:rsidRDefault="00F76C28" w:rsidP="00F76C28">
      <w:pPr>
        <w:rPr>
          <w:rFonts w:ascii="Arial" w:hAnsi="Arial" w:cs="Arial"/>
          <w:b/>
          <w:color w:val="381A0A"/>
          <w:sz w:val="28"/>
        </w:rPr>
      </w:pPr>
    </w:p>
    <w:p w14:paraId="25BCAE26" w14:textId="77777777" w:rsidR="00F76C28" w:rsidRPr="00286F9E" w:rsidRDefault="00F76C28" w:rsidP="00F76C28">
      <w:pPr>
        <w:rPr>
          <w:rFonts w:ascii="Arial" w:hAnsi="Arial" w:cs="Arial"/>
          <w:b/>
          <w:color w:val="00B0F0"/>
          <w:sz w:val="28"/>
          <w:u w:val="single"/>
        </w:rPr>
      </w:pPr>
      <w:r w:rsidRPr="00286F9E">
        <w:rPr>
          <w:rFonts w:ascii="Arial" w:hAnsi="Arial" w:cs="Arial"/>
          <w:b/>
          <w:color w:val="00B0F0"/>
          <w:sz w:val="28"/>
          <w:u w:val="single"/>
        </w:rPr>
        <w:t>Horizons considérés</w:t>
      </w:r>
      <w:r w:rsidRPr="00286F9E">
        <w:rPr>
          <w:rFonts w:ascii="Arial" w:hAnsi="Arial" w:cs="Arial"/>
          <w:b/>
          <w:color w:val="00B0F0"/>
          <w:sz w:val="28"/>
        </w:rPr>
        <w:t> :</w:t>
      </w:r>
    </w:p>
    <w:p w14:paraId="5271BA3A" w14:textId="77777777" w:rsidR="00F76C28" w:rsidRPr="00286F9E" w:rsidRDefault="00F76C28" w:rsidP="00F76C28">
      <w:pPr>
        <w:pStyle w:val="Paragraphedeliste"/>
        <w:numPr>
          <w:ilvl w:val="0"/>
          <w:numId w:val="3"/>
        </w:numPr>
        <w:rPr>
          <w:rFonts w:ascii="Arial" w:hAnsi="Arial" w:cs="Arial"/>
          <w:bCs/>
          <w:color w:val="381A0A"/>
          <w:sz w:val="28"/>
        </w:rPr>
      </w:pPr>
      <w:r w:rsidRPr="00286F9E">
        <w:rPr>
          <w:rFonts w:ascii="Arial" w:hAnsi="Arial" w:cs="Arial"/>
          <w:bCs/>
          <w:color w:val="381A0A"/>
          <w:sz w:val="28"/>
        </w:rPr>
        <w:t>Court terme : moins de 4 ans</w:t>
      </w:r>
    </w:p>
    <w:p w14:paraId="7002156A" w14:textId="77777777" w:rsidR="00F76C28" w:rsidRPr="00286F9E" w:rsidRDefault="00F76C28" w:rsidP="00F76C28">
      <w:pPr>
        <w:pStyle w:val="Paragraphedeliste"/>
        <w:numPr>
          <w:ilvl w:val="0"/>
          <w:numId w:val="3"/>
        </w:numPr>
        <w:rPr>
          <w:rFonts w:ascii="Arial" w:hAnsi="Arial" w:cs="Arial"/>
          <w:bCs/>
          <w:color w:val="381A0A"/>
          <w:sz w:val="28"/>
        </w:rPr>
      </w:pPr>
      <w:r w:rsidRPr="00286F9E">
        <w:rPr>
          <w:rFonts w:ascii="Arial" w:hAnsi="Arial" w:cs="Arial"/>
          <w:bCs/>
          <w:color w:val="381A0A"/>
          <w:sz w:val="28"/>
        </w:rPr>
        <w:t>Moyen terme : entre 4 et 8 ans</w:t>
      </w:r>
    </w:p>
    <w:p w14:paraId="1AFC7540" w14:textId="77777777" w:rsidR="00F76C28" w:rsidRPr="00286F9E" w:rsidRDefault="00F76C28" w:rsidP="00F76C28">
      <w:pPr>
        <w:pStyle w:val="Paragraphedeliste"/>
        <w:numPr>
          <w:ilvl w:val="0"/>
          <w:numId w:val="3"/>
        </w:numPr>
        <w:rPr>
          <w:rFonts w:ascii="Arial" w:hAnsi="Arial" w:cs="Arial"/>
          <w:bCs/>
          <w:color w:val="381A0A"/>
          <w:sz w:val="28"/>
        </w:rPr>
      </w:pPr>
      <w:r w:rsidRPr="00286F9E">
        <w:rPr>
          <w:rFonts w:ascii="Arial" w:hAnsi="Arial" w:cs="Arial"/>
          <w:bCs/>
          <w:color w:val="381A0A"/>
          <w:sz w:val="28"/>
        </w:rPr>
        <w:t>Long terme : plus de 8 ans</w:t>
      </w:r>
    </w:p>
    <w:p w14:paraId="622AE7E6" w14:textId="77777777" w:rsidR="00F76C28" w:rsidRDefault="00F76C28" w:rsidP="00F76C28">
      <w:pPr>
        <w:rPr>
          <w:rFonts w:ascii="Arial" w:hAnsi="Arial" w:cs="Arial"/>
          <w:b/>
          <w:color w:val="381A0A"/>
          <w:sz w:val="28"/>
        </w:rPr>
      </w:pPr>
    </w:p>
    <w:p w14:paraId="14249B42" w14:textId="6A188A4C" w:rsidR="000B0ACB" w:rsidRPr="00F76C28" w:rsidRDefault="00F76C28" w:rsidP="00F44812">
      <w:pPr>
        <w:jc w:val="both"/>
        <w:rPr>
          <w:rFonts w:ascii="Arial" w:hAnsi="Arial" w:cs="Arial"/>
          <w:bCs/>
          <w:color w:val="381A0A"/>
          <w:sz w:val="28"/>
        </w:rPr>
      </w:pPr>
      <w:r w:rsidRPr="00286F9E">
        <w:rPr>
          <w:rFonts w:ascii="Arial" w:hAnsi="Arial" w:cs="Arial"/>
          <w:bCs/>
          <w:color w:val="381A0A"/>
          <w:sz w:val="28"/>
        </w:rPr>
        <w:t xml:space="preserve">Les montants indiqués en vert correspondent à des surplus, en rouge à des manques. Il s’agira d’arbitrer </w:t>
      </w:r>
      <w:r>
        <w:rPr>
          <w:rFonts w:ascii="Arial" w:hAnsi="Arial" w:cs="Arial"/>
          <w:bCs/>
          <w:color w:val="381A0A"/>
          <w:sz w:val="28"/>
        </w:rPr>
        <w:t>vos avoirs financiers</w:t>
      </w:r>
      <w:r w:rsidRPr="00286F9E">
        <w:rPr>
          <w:rFonts w:ascii="Arial" w:hAnsi="Arial" w:cs="Arial"/>
          <w:bCs/>
          <w:color w:val="381A0A"/>
          <w:sz w:val="28"/>
        </w:rPr>
        <w:t xml:space="preserve"> au mieux de vos intérêts afin que chaque période soit assortie d’un montant total net au plus proche d’une valeur nulle. Le surplus éventuel qui constituerai</w:t>
      </w:r>
      <w:r>
        <w:rPr>
          <w:rFonts w:ascii="Arial" w:hAnsi="Arial" w:cs="Arial"/>
          <w:bCs/>
          <w:color w:val="381A0A"/>
          <w:sz w:val="28"/>
        </w:rPr>
        <w:t>t</w:t>
      </w:r>
      <w:r w:rsidRPr="00286F9E">
        <w:rPr>
          <w:rFonts w:ascii="Arial" w:hAnsi="Arial" w:cs="Arial"/>
          <w:bCs/>
          <w:color w:val="381A0A"/>
          <w:sz w:val="28"/>
        </w:rPr>
        <w:t xml:space="preserve"> une réserve de sécurité devrait idéalement être placé avec un horizon à long terme</w:t>
      </w:r>
      <w:r>
        <w:rPr>
          <w:rFonts w:ascii="Arial" w:hAnsi="Arial" w:cs="Arial"/>
          <w:bCs/>
          <w:color w:val="381A0A"/>
          <w:sz w:val="28"/>
        </w:rPr>
        <w:t>,</w:t>
      </w:r>
      <w:r w:rsidRPr="00286F9E">
        <w:rPr>
          <w:rFonts w:ascii="Arial" w:hAnsi="Arial" w:cs="Arial"/>
          <w:bCs/>
          <w:color w:val="381A0A"/>
          <w:sz w:val="28"/>
        </w:rPr>
        <w:t xml:space="preserve"> </w:t>
      </w:r>
      <w:r>
        <w:rPr>
          <w:rFonts w:ascii="Arial" w:hAnsi="Arial" w:cs="Arial"/>
          <w:bCs/>
          <w:color w:val="381A0A"/>
          <w:sz w:val="28"/>
        </w:rPr>
        <w:t>assorti</w:t>
      </w:r>
      <w:r w:rsidRPr="00286F9E">
        <w:rPr>
          <w:rFonts w:ascii="Arial" w:hAnsi="Arial" w:cs="Arial"/>
          <w:bCs/>
          <w:color w:val="381A0A"/>
          <w:sz w:val="28"/>
        </w:rPr>
        <w:t xml:space="preserve"> </w:t>
      </w:r>
      <w:r>
        <w:rPr>
          <w:rFonts w:ascii="Arial" w:hAnsi="Arial" w:cs="Arial"/>
          <w:bCs/>
          <w:color w:val="381A0A"/>
          <w:sz w:val="28"/>
        </w:rPr>
        <w:t>d’</w:t>
      </w:r>
      <w:r w:rsidRPr="00286F9E">
        <w:rPr>
          <w:rFonts w:ascii="Arial" w:hAnsi="Arial" w:cs="Arial"/>
          <w:bCs/>
          <w:color w:val="381A0A"/>
          <w:sz w:val="28"/>
        </w:rPr>
        <w:t>un rendement potentiel plus dynamique en contrepartie d’un risque assumé.</w:t>
      </w:r>
    </w:p>
    <w:sectPr w:rsidR="000B0ACB" w:rsidRPr="00F76C28" w:rsidSect="000876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D686A" w14:textId="77777777" w:rsidR="008A1C01" w:rsidRDefault="008A1C01">
      <w:pPr>
        <w:spacing w:after="0" w:line="240" w:lineRule="auto"/>
      </w:pPr>
      <w:r>
        <w:separator/>
      </w:r>
    </w:p>
  </w:endnote>
  <w:endnote w:type="continuationSeparator" w:id="0">
    <w:p w14:paraId="13E97527" w14:textId="77777777" w:rsidR="008A1C01" w:rsidRDefault="008A1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1F65D" w14:textId="77777777" w:rsidR="00070240" w:rsidRDefault="0007024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4839B" w14:textId="43D2210C" w:rsidR="00CE5096" w:rsidRPr="00070240" w:rsidRDefault="008A1C01" w:rsidP="000702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5EE8" w14:textId="77777777" w:rsidR="00070240" w:rsidRDefault="0007024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A7BE6" w14:textId="77777777" w:rsidR="008A1C01" w:rsidRDefault="008A1C01">
      <w:pPr>
        <w:spacing w:after="0" w:line="240" w:lineRule="auto"/>
      </w:pPr>
      <w:r>
        <w:separator/>
      </w:r>
    </w:p>
  </w:footnote>
  <w:footnote w:type="continuationSeparator" w:id="0">
    <w:p w14:paraId="1FB9EC4C" w14:textId="77777777" w:rsidR="008A1C01" w:rsidRDefault="008A1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6802F" w14:textId="77777777" w:rsidR="00070240" w:rsidRDefault="0007024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5A9B1" w14:textId="77777777" w:rsidR="00070240" w:rsidRDefault="0007024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8CE64" w14:textId="77777777" w:rsidR="00070240" w:rsidRDefault="0007024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33C2B"/>
    <w:multiLevelType w:val="hybridMultilevel"/>
    <w:tmpl w:val="EC203626"/>
    <w:lvl w:ilvl="0" w:tplc="7D0482C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8D1763"/>
    <w:multiLevelType w:val="hybridMultilevel"/>
    <w:tmpl w:val="D150A9E8"/>
    <w:lvl w:ilvl="0" w:tplc="A3C69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8D8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F9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2FF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9A15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C21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E82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4E2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66A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EF0D1F"/>
    <w:multiLevelType w:val="hybridMultilevel"/>
    <w:tmpl w:val="AAB42C6A"/>
    <w:lvl w:ilvl="0" w:tplc="63B81AB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A1"/>
    <w:rsid w:val="0006584C"/>
    <w:rsid w:val="00070240"/>
    <w:rsid w:val="00074084"/>
    <w:rsid w:val="000876A6"/>
    <w:rsid w:val="000B0ACB"/>
    <w:rsid w:val="00116288"/>
    <w:rsid w:val="00241BC7"/>
    <w:rsid w:val="00432797"/>
    <w:rsid w:val="00607BA5"/>
    <w:rsid w:val="006E2ACA"/>
    <w:rsid w:val="00730EAE"/>
    <w:rsid w:val="007D28A1"/>
    <w:rsid w:val="008A1C01"/>
    <w:rsid w:val="008E7159"/>
    <w:rsid w:val="00A57AB2"/>
    <w:rsid w:val="00A90835"/>
    <w:rsid w:val="00D04F2B"/>
    <w:rsid w:val="00F44812"/>
    <w:rsid w:val="00F7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271F"/>
  <w15:chartTrackingRefBased/>
  <w15:docId w15:val="{21E7A9EB-F885-4EB1-8C41-0FAAA2B7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8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D2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8A1"/>
  </w:style>
  <w:style w:type="paragraph" w:styleId="NormalWeb">
    <w:name w:val="Normal (Web)"/>
    <w:basedOn w:val="Normal"/>
    <w:uiPriority w:val="99"/>
    <w:semiHidden/>
    <w:unhideWhenUsed/>
    <w:rsid w:val="008E71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TableauGrille4-Accentuation1">
    <w:name w:val="Grid Table 4 Accent 1"/>
    <w:basedOn w:val="TableauNormal"/>
    <w:uiPriority w:val="49"/>
    <w:rsid w:val="00D04F2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Paragraphedeliste">
    <w:name w:val="List Paragraph"/>
    <w:basedOn w:val="Normal"/>
    <w:uiPriority w:val="34"/>
    <w:qFormat/>
    <w:rsid w:val="000B0AC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702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0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Gros-Dubois</dc:creator>
  <cp:keywords/>
  <dc:description/>
  <cp:lastModifiedBy>BAYSSIERE Stephan</cp:lastModifiedBy>
  <cp:revision>7</cp:revision>
  <dcterms:created xsi:type="dcterms:W3CDTF">2020-05-28T15:13:00Z</dcterms:created>
  <dcterms:modified xsi:type="dcterms:W3CDTF">2021-09-23T14:38:00Z</dcterms:modified>
</cp:coreProperties>
</file>